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426"/>
        <w:jc w:val="center"/>
        <w:tabs>
          <w:tab w:val="left" w:pos="751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поправок в проект</w:t>
      </w:r>
      <w:r>
        <w:rPr>
          <w:sz w:val="28"/>
          <w:szCs w:val="28"/>
        </w:rPr>
        <w:t xml:space="preserve"> решения Думы города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567" w:right="536"/>
        <w:jc w:val="center"/>
        <w:keepNext/>
        <w:rPr>
          <w:bCs/>
          <w:iCs/>
          <w:sz w:val="28"/>
          <w:szCs w:val="28"/>
        </w:rPr>
        <w:outlineLvl w:val="0"/>
      </w:pP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«</w:t>
      </w:r>
      <w:r>
        <w:rPr>
          <w:sz w:val="28"/>
          <w:szCs w:val="28"/>
        </w:rPr>
        <w:t xml:space="preserve">О бюджете города Нефтеюганска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2026</w:t>
      </w:r>
      <w:r>
        <w:rPr>
          <w:sz w:val="28"/>
          <w:szCs w:val="28"/>
        </w:rPr>
        <w:t xml:space="preserve"> год и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</w:t>
      </w:r>
      <w:r>
        <w:rPr>
          <w:bCs/>
          <w:iCs/>
          <w:sz w:val="28"/>
          <w:szCs w:val="28"/>
        </w:rPr>
        <w:t xml:space="preserve">»</w:t>
      </w: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jc w:val="center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tbl>
      <w:tblPr>
        <w:tblW w:w="1531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658"/>
        <w:gridCol w:w="7652"/>
      </w:tblGrid>
      <w:tr>
        <w:tblPrEx/>
        <w:trPr>
          <w:tblHeader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</w:t>
            </w:r>
            <w:r>
              <w:rPr>
                <w:sz w:val="27"/>
                <w:szCs w:val="27"/>
              </w:rPr>
              <w:t xml:space="preserve">Текст проекта </w:t>
            </w:r>
            <w:r>
              <w:rPr>
                <w:sz w:val="27"/>
                <w:szCs w:val="27"/>
              </w:rPr>
              <w:t xml:space="preserve">решения, </w:t>
            </w:r>
            <w:r>
              <w:rPr>
                <w:sz w:val="27"/>
                <w:szCs w:val="27"/>
              </w:rPr>
              <w:t xml:space="preserve">  </w:t>
            </w:r>
            <w:r>
              <w:rPr>
                <w:sz w:val="27"/>
                <w:szCs w:val="27"/>
              </w:rPr>
              <w:t xml:space="preserve">                                                                </w:t>
            </w:r>
            <w:r>
              <w:rPr>
                <w:sz w:val="27"/>
                <w:szCs w:val="27"/>
              </w:rPr>
              <w:t xml:space="preserve">внесенного в Думу города 10</w:t>
            </w:r>
            <w:r>
              <w:rPr>
                <w:sz w:val="27"/>
                <w:szCs w:val="27"/>
              </w:rPr>
              <w:t xml:space="preserve">.11.202</w:t>
            </w: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Текст проекта решения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 учетом вносимых поправок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Нефтеюганска (далее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бюджет города) на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в сумме   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14 05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9 278 928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2)общий объём расходов бюджета города в 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15 132 003 806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3)дефицит бюджета города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1 07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2 724 878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города на 1 января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в объёме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верхний предел долга по муниципальным гарантиям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)объем расходов на обслуживание муниципального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лей.</w:t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Нефтеюганска (далее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бюджет города) на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в 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14 05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9 28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2)общий объём расходов бюджета города в 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15 261 781 231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рубль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3)дефицит бюджета города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1 202 499 203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рубля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города на 1 января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в объёме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верхний предел долга по муниципальным гарантиям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)объем расходов на обслуживание муниципального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лей.</w:t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</w:p>
        </w:tc>
      </w:tr>
      <w:tr>
        <w:tblPrEx/>
        <w:trPr>
          <w:trHeight w:val="2204"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на плановый период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13 973 543 421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13 700 197 558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рублей;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2)общий объём расходов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14 365 723 704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13 843 213 664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 условно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утвержденные расходы на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0 000 рублей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000 000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3)дефицит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392 180 283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143 016 106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муниципального внутреннего долга на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0 рублей, на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143 016 106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 верхний предел долга по муниципальным гарантиям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в объёме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  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5)объем расходов на обслуживание муниципального внутреннего долга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12 715 510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на плановый период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13 973 54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13 700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2)общий объём расходов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14 430 688 278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13 913 053 488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,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том числе условно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утвержденные расходы на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в сумме 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0 000 рублей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000 000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3)дефицит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в сумме    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457 141 757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212 852 830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муниципального внутреннего долга на     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0 рублей, на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143 016 106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 верхний предел долга по муниципальным гарантиям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в объёме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      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5)объем расходов на обслуживание муниципального внутреннего долга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12 715 510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blPrEx/>
        <w:trPr>
          <w:trHeight w:val="1691"/>
        </w:trPr>
        <w:tc>
          <w:tcPr>
            <w:shd w:val="clear" w:color="ffffff" w:fill="ffffff"/>
            <w:tcW w:w="7658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общий объем бюджетных ассигнований на исполнение публичных нормативных обязательств: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92 093 200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29 253 600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29 253 600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9. Утвердить общий объем бюджетных ассигнований на исполнение публичных нормативных обязательств: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1)на 2026 год в сумме 112 093 200 рублей;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2027 год в сумме 29 253 600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2028 год в сумме 29 253 600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blPrEx/>
        <w:trPr>
          <w:trHeight w:val="1691"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в бюджете общий объём межбюджетных трансфертов, получаемых из других бюджетов: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7 347 022 700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7 057 411 200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6 521 859 900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в бюджете общий объём межбюджетных трансфертов, получаемых из других бюджетов: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1)на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7 347 02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2)на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7 057 41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рублей;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3)на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6 521 8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63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объем бюджетных ассигнований дорожного фонда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муниципального образования город Нефтеюганск: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767 619 862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628 696 762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512 379 092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Установить, что в соответствии с под</w:t>
            </w:r>
            <w:hyperlink r:id="rId11" w:tooltip="consultantplus://offline/ref=16052D54272BCDE38E95F2676CA6BB086E21ABD80E96DE618385A82DB67D15FCDDAE201BDB5EF650425EB899C1EA980EEB1B7D078E7C38D5MCGCH" w:history="1">
              <w:r>
                <w:rPr>
                  <w:rFonts w:ascii="Times New Roman" w:hAnsi="Times New Roman" w:cs="Times New Roman"/>
                  <w:sz w:val="27"/>
                  <w:szCs w:val="27"/>
                </w:rPr>
                <w:t xml:space="preserve">пунктом 9 пункта 2.2</w:t>
              </w:r>
            </w:hyperlink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Думы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592 267 562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409 706 562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271 038 792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объем бюджетных ассигнований дорожного фонда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муниципального образования город Нефтеюганск: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766 829 881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рубль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628 696 762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512 379 092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Установить, что в соответствии с под</w:t>
            </w:r>
            <w:hyperlink r:id="rId12" w:tooltip="consultantplus://offline/ref=16052D54272BCDE38E95F2676CA6BB086E21ABD80E96DE618385A82DB67D15FCDDAE201BDB5EF650425EB899C1EA980EEB1B7D078E7C38D5MCGCH" w:history="1">
              <w:r>
                <w:rPr>
                  <w:rFonts w:ascii="Times New Roman" w:hAnsi="Times New Roman" w:cs="Times New Roman"/>
                  <w:sz w:val="27"/>
                  <w:szCs w:val="27"/>
                </w:rPr>
                <w:t xml:space="preserve">пунктом 9 пункта 2.2</w:t>
              </w:r>
            </w:hyperlink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Думы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591 477 581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рубль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409 706 562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271 038 792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  <w:r/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</w:tr>
      <w:tr>
        <w:tblPrEx/>
        <w:trPr>
          <w:trHeight w:val="928"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Установить,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что расходование средств, а именно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суммы штрафов, установленных Кодексом Российской Федерации об административных правонарушениях за административные правонаруше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средств от п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.01.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2002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7-ФЗ «Об охране окружающей среды.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Установить,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что расходование средств, а именно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суммы штрафов, установленных Кодексом Российской Федерации об административных правонарушениях за административные правонаруше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средств от п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осуществляется в соответствии с Планом мероприятий, указанных 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пункте 1 статьи 75.1 и пункте 1 статьи 78.2 Федерального закона от 10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.01.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2002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7-ФЗ «Об охране окружающей среды.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</w:tc>
      </w:tr>
      <w:tr>
        <w:tblPrEx/>
        <w:trPr>
          <w:trHeight w:val="928"/>
        </w:trPr>
        <w:tc>
          <w:tcPr>
            <w:shd w:val="clear" w:color="ffffff" w:fill="ffffff"/>
            <w:tcW w:w="7658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Установить, что в целях возмещения недополученных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доходов и (или) финансового обеспечения (возмещения) затрат в связи с производством (реализацией) тов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предоставляются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 безвозмездной и безвозвратной основе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государственным (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муниципальным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учреждениям), индивидуальным предпринимателям, а также физическим лицам – производителям товаров, работ, услуг, в следующих случаях: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возмещение затрат субъектам малого и среднего предпринимательства и развитие социального предпринимательства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6)на возмещение затрат по откачке и вывозу 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возмещение затрат сельхозтоваропроизводителям (за исключением личных подсобных хозяйств) на поддержку растениеводства;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8)на возмещение затрат сельхозтоваропроизводителям на поддержку животноводства;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финансовое обеспечение затрат АО «Югансктранстеплосервис»,      АО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тлов на резервный вид топлива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15.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предоставляются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 безвозмездной и безвозвратной основе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в следующих случаях: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возмещение затрат субъектам малого и среднего предпринимательства и развитие социального предпринимательства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игрушек (за исключением расходов на содержание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6)на возмещение затрат по откачке и вывозу 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возмещение затрат сельхозтоваропроизводителям (за исключением личных подсобных хозяйств) на поддержку растениеводства;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8)на возмещение затрат сельхозтоваропроизводителям на поддержку животноводства;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11)на финансовое обеспечение затрат АО «Югансктранстеплосервис»,      АО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12)на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13)на возмещение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недополученных доходов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ресурсоснабжающим организациям, осуществляющим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изменения размера вносимой гражданами платы за коммунальные услуги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администрирование переданного отдельного государственного полномочия по предоставлению компенсации части родительской платы за при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бюджета (в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году);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 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инициативных проектов (в 2026 году)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проведение государственной итоговой аттестации, завершающей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освоение основных образовательных программ основного общего и среднего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мероприятий по оснащению (дооснащению) постоянного рабочего места для трудоустройства инвалида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администрирование переданного отдельного государственного полномочия по предоставлению компенсации части родительской платы за при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инициативных проектов (в 2026 году)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проведение государственной итоговой аттестации, завершающей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освоение основных образовательных программ основного общего и среднего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мероприятий по оснащению (дооснащению) постоянного рабочего места для трудоустройства инвалида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 соответствии с пунктом 8 статьи 217 Бюджетного кодекса Российской Федерации, пунктом 2 статьи 12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Положения о бюджетном устройстве и бюджетном процессе в городе Нефтеюганске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утвержденного р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ешени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Думы города Нефтеюганска  от 25.09.2013 № 633-V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дополнительным основанием для внесения изменений в сводную бюджетную роспись без внесения изме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22.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 соответствии с пунктом 8 статьи 217 Бюджетного кодекса Российской Федерации, пунктом 2 статьи 12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vertAlign w:val="superscript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решения Думы города Нефтеюганска от 25.09.2013 № 633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-V «Об утверждении Положения о бюджетном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устройстве и бюджетном процессе в городе Нефтеюганске» дополнительными основаниями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1)перераспределение бюджетных ассигнований, предусматриваемых за счет субсидий, субвенций, иных межбюджетн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2)перераспределение бюджетных ассигнований за счет средств местного бюджета по разделам, подразделам, целевым статьям, видам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7"/>
                <w:szCs w:val="27"/>
                <w:highlight w:val="white"/>
                <w:lang w:eastAsia="ru-RU"/>
              </w:rPr>
              <w:t xml:space="preserve">3)распределение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7"/>
                <w:szCs w:val="27"/>
                <w:highlight w:val="white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notePr/>
      <w:endnotePr/>
      <w:type w:val="nextPage"/>
      <w:pgSz w:w="16838" w:h="11906" w:orient="landscape"/>
      <w:pgMar w:top="1134" w:right="567" w:bottom="1134" w:left="993" w:header="709" w:footer="709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12</w:t>
    </w:r>
    <w:r>
      <w:fldChar w:fldCharType="end"/>
    </w:r>
    <w:r/>
  </w:p>
  <w:p>
    <w:pPr>
      <w:pStyle w:val="9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)"/>
      <w:lvlJc w:val="left"/>
      <w:pPr>
        <w:ind w:left="117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37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89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6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9">
    <w:multiLevelType w:val="hybridMultilevel"/>
    <w:lvl w:ilvl="0">
      <w:start w:val="9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28"/>
  </w:num>
  <w:num w:numId="4">
    <w:abstractNumId w:val="29"/>
  </w:num>
  <w:num w:numId="5">
    <w:abstractNumId w:val="9"/>
  </w:num>
  <w:num w:numId="6">
    <w:abstractNumId w:val="27"/>
  </w:num>
  <w:num w:numId="7">
    <w:abstractNumId w:val="8"/>
  </w:num>
  <w:num w:numId="8">
    <w:abstractNumId w:val="7"/>
  </w:num>
  <w:num w:numId="9">
    <w:abstractNumId w:val="19"/>
  </w:num>
  <w:num w:numId="10">
    <w:abstractNumId w:val="1"/>
  </w:num>
  <w:num w:numId="11">
    <w:abstractNumId w:val="25"/>
  </w:num>
  <w:num w:numId="12">
    <w:abstractNumId w:val="15"/>
  </w:num>
  <w:num w:numId="13">
    <w:abstractNumId w:val="26"/>
  </w:num>
  <w:num w:numId="14">
    <w:abstractNumId w:val="6"/>
  </w:num>
  <w:num w:numId="15">
    <w:abstractNumId w:val="14"/>
  </w:num>
  <w:num w:numId="16">
    <w:abstractNumId w:val="4"/>
  </w:num>
  <w:num w:numId="17">
    <w:abstractNumId w:val="0"/>
  </w:num>
  <w:num w:numId="18">
    <w:abstractNumId w:val="20"/>
  </w:num>
  <w:num w:numId="19">
    <w:abstractNumId w:val="12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5"/>
  </w:num>
  <w:num w:numId="24">
    <w:abstractNumId w:val="22"/>
  </w:num>
  <w:num w:numId="25">
    <w:abstractNumId w:val="3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1"/>
  </w:num>
  <w:num w:numId="29">
    <w:abstractNumId w:val="24"/>
  </w:num>
  <w:num w:numId="30">
    <w:abstractNumId w:val="10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5">
    <w:name w:val="Heading 1 Char"/>
    <w:basedOn w:val="910"/>
    <w:link w:val="908"/>
    <w:uiPriority w:val="9"/>
    <w:rPr>
      <w:rFonts w:ascii="Arial" w:hAnsi="Arial" w:eastAsia="Arial" w:cs="Arial"/>
      <w:sz w:val="40"/>
      <w:szCs w:val="40"/>
    </w:rPr>
  </w:style>
  <w:style w:type="character" w:styleId="736">
    <w:name w:val="Heading 2 Char"/>
    <w:basedOn w:val="910"/>
    <w:link w:val="909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basedOn w:val="910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basedOn w:val="910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0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0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0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0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7"/>
    <w:next w:val="907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7"/>
    <w:next w:val="907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0"/>
    <w:link w:val="752"/>
    <w:uiPriority w:val="10"/>
    <w:rPr>
      <w:sz w:val="48"/>
      <w:szCs w:val="48"/>
    </w:rPr>
  </w:style>
  <w:style w:type="paragraph" w:styleId="754">
    <w:name w:val="Subtitle"/>
    <w:basedOn w:val="907"/>
    <w:next w:val="907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0"/>
    <w:link w:val="754"/>
    <w:uiPriority w:val="11"/>
    <w:rPr>
      <w:sz w:val="24"/>
      <w:szCs w:val="24"/>
    </w:rPr>
  </w:style>
  <w:style w:type="paragraph" w:styleId="756">
    <w:name w:val="Quote"/>
    <w:basedOn w:val="907"/>
    <w:next w:val="907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7"/>
    <w:next w:val="907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character" w:styleId="760">
    <w:name w:val="Header Char"/>
    <w:basedOn w:val="910"/>
    <w:link w:val="925"/>
    <w:uiPriority w:val="99"/>
  </w:style>
  <w:style w:type="character" w:styleId="761">
    <w:name w:val="Footer Char"/>
    <w:basedOn w:val="910"/>
    <w:link w:val="927"/>
    <w:uiPriority w:val="99"/>
  </w:style>
  <w:style w:type="paragraph" w:styleId="762">
    <w:name w:val="Caption"/>
    <w:basedOn w:val="907"/>
    <w:next w:val="907"/>
    <w:link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910"/>
    <w:link w:val="762"/>
    <w:uiPriority w:val="35"/>
    <w:rPr>
      <w:b/>
      <w:bCs/>
      <w:color w:val="4f81bd" w:themeColor="accent1"/>
      <w:sz w:val="18"/>
      <w:szCs w:val="18"/>
    </w:rPr>
  </w:style>
  <w:style w:type="table" w:styleId="764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3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4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5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6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7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8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0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1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2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3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4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5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7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8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9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0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1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2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basedOn w:val="910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10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  <w:rPr>
      <w:sz w:val="24"/>
      <w:szCs w:val="24"/>
    </w:rPr>
  </w:style>
  <w:style w:type="paragraph" w:styleId="908">
    <w:name w:val="Heading 1"/>
    <w:basedOn w:val="907"/>
    <w:next w:val="907"/>
    <w:link w:val="92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09">
    <w:name w:val="Heading 2"/>
    <w:basedOn w:val="907"/>
    <w:next w:val="907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 w:customStyle="1">
    <w:name w:val="ConsNormal"/>
    <w:pPr>
      <w:ind w:firstLine="720"/>
      <w:widowControl w:val="off"/>
    </w:pPr>
    <w:rPr>
      <w:rFonts w:ascii="Arial" w:hAnsi="Arial" w:cs="Arial"/>
    </w:rPr>
  </w:style>
  <w:style w:type="paragraph" w:styleId="914">
    <w:name w:val="Body Text 2"/>
    <w:basedOn w:val="907"/>
    <w:pPr>
      <w:jc w:val="both"/>
    </w:pPr>
    <w:rPr>
      <w:sz w:val="28"/>
    </w:rPr>
  </w:style>
  <w:style w:type="paragraph" w:styleId="915">
    <w:name w:val="Body Text"/>
    <w:basedOn w:val="907"/>
    <w:pPr>
      <w:spacing w:after="120"/>
    </w:pPr>
  </w:style>
  <w:style w:type="paragraph" w:styleId="916" w:customStyle="1">
    <w:name w:val="Название1"/>
    <w:basedOn w:val="907"/>
    <w:qFormat/>
    <w:pPr>
      <w:jc w:val="center"/>
    </w:pPr>
    <w:rPr>
      <w:b/>
      <w:bCs/>
      <w:sz w:val="28"/>
    </w:rPr>
  </w:style>
  <w:style w:type="paragraph" w:styleId="917" w:customStyle="1">
    <w:name w:val="Прижатый влево"/>
    <w:basedOn w:val="907"/>
    <w:next w:val="907"/>
    <w:rPr>
      <w:rFonts w:ascii="Arial" w:hAnsi="Arial" w:eastAsia="Calibri" w:cs="Arial"/>
      <w:lang w:eastAsia="en-US"/>
    </w:rPr>
  </w:style>
  <w:style w:type="paragraph" w:styleId="918" w:customStyle="1">
    <w:name w:val="Знак Знак Знак"/>
    <w:basedOn w:val="907"/>
    <w:pPr>
      <w:spacing w:after="160" w:line="240" w:lineRule="exact"/>
    </w:pPr>
    <w:rPr>
      <w:sz w:val="28"/>
      <w:szCs w:val="20"/>
      <w:lang w:val="en-US" w:eastAsia="en-US"/>
    </w:rPr>
  </w:style>
  <w:style w:type="paragraph" w:styleId="919">
    <w:name w:val="Balloon Text"/>
    <w:basedOn w:val="907"/>
    <w:link w:val="920"/>
    <w:rPr>
      <w:rFonts w:ascii="Segoe UI" w:hAnsi="Segoe UI" w:cs="Segoe UI"/>
      <w:sz w:val="18"/>
      <w:szCs w:val="18"/>
    </w:rPr>
  </w:style>
  <w:style w:type="character" w:styleId="920" w:customStyle="1">
    <w:name w:val="Текст выноски Знак"/>
    <w:link w:val="919"/>
    <w:rPr>
      <w:rFonts w:ascii="Segoe UI" w:hAnsi="Segoe UI" w:cs="Segoe UI"/>
      <w:sz w:val="18"/>
      <w:szCs w:val="18"/>
    </w:rPr>
  </w:style>
  <w:style w:type="paragraph" w:styleId="921">
    <w:name w:val="List Paragraph"/>
    <w:basedOn w:val="907"/>
    <w:uiPriority w:val="34"/>
    <w:qFormat/>
    <w:pPr>
      <w:contextualSpacing/>
      <w:ind w:left="720"/>
    </w:pPr>
  </w:style>
  <w:style w:type="character" w:styleId="922" w:customStyle="1">
    <w:name w:val="Заголовок 1 Знак"/>
    <w:link w:val="908"/>
    <w:rPr>
      <w:rFonts w:ascii="Cambria" w:hAnsi="Cambria" w:eastAsia="Times New Roman" w:cs="Times New Roman"/>
      <w:b/>
      <w:bCs/>
      <w:sz w:val="32"/>
      <w:szCs w:val="32"/>
    </w:rPr>
  </w:style>
  <w:style w:type="paragraph" w:styleId="923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24" w:customStyle="1">
    <w:name w:val="Знак Знак Знак Знак Знак Знак"/>
    <w:basedOn w:val="907"/>
    <w:pPr>
      <w:ind w:left="432" w:hanging="432"/>
      <w:jc w:val="both"/>
      <w:spacing w:before="120" w:after="160"/>
      <w:tabs>
        <w:tab w:val="num" w:pos="432" w:leader="none"/>
      </w:tabs>
    </w:pPr>
    <w:rPr>
      <w:b/>
      <w:bCs/>
      <w:caps/>
      <w:sz w:val="32"/>
      <w:szCs w:val="32"/>
      <w:lang w:val="en-US" w:eastAsia="en-US"/>
    </w:rPr>
  </w:style>
  <w:style w:type="paragraph" w:styleId="925">
    <w:name w:val="Header"/>
    <w:basedOn w:val="907"/>
    <w:link w:val="926"/>
    <w:pPr>
      <w:tabs>
        <w:tab w:val="center" w:pos="4677" w:leader="none"/>
        <w:tab w:val="right" w:pos="9355" w:leader="none"/>
      </w:tabs>
    </w:pPr>
  </w:style>
  <w:style w:type="character" w:styleId="926" w:customStyle="1">
    <w:name w:val="Верхний колонтитул Знак"/>
    <w:link w:val="925"/>
    <w:rPr>
      <w:sz w:val="24"/>
      <w:szCs w:val="24"/>
    </w:rPr>
  </w:style>
  <w:style w:type="paragraph" w:styleId="927">
    <w:name w:val="Footer"/>
    <w:basedOn w:val="907"/>
    <w:link w:val="928"/>
    <w:uiPriority w:val="99"/>
    <w:pPr>
      <w:tabs>
        <w:tab w:val="center" w:pos="4677" w:leader="none"/>
        <w:tab w:val="right" w:pos="9355" w:leader="none"/>
      </w:tabs>
    </w:pPr>
  </w:style>
  <w:style w:type="character" w:styleId="928" w:customStyle="1">
    <w:name w:val="Нижний колонтитул Знак"/>
    <w:link w:val="927"/>
    <w:uiPriority w:val="99"/>
    <w:rPr>
      <w:sz w:val="24"/>
      <w:szCs w:val="24"/>
    </w:rPr>
  </w:style>
  <w:style w:type="table" w:styleId="929">
    <w:name w:val="Table Grid"/>
    <w:basedOn w:val="91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0" w:customStyle="1">
    <w:name w:val="Default"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2B640-8E0E-49DC-AE18-402DACF1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cp:lastModifiedBy>TrusovaVA</cp:lastModifiedBy>
  <cp:revision>67</cp:revision>
  <dcterms:created xsi:type="dcterms:W3CDTF">2021-11-24T12:09:00Z</dcterms:created>
  <dcterms:modified xsi:type="dcterms:W3CDTF">2025-12-17T12:27:38Z</dcterms:modified>
</cp:coreProperties>
</file>